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CellSpacing w:w="15" w:type="dxa"/>
        <w:tblInd w:w="-806" w:type="dxa"/>
        <w:tblCellMar>
          <w:top w:w="15" w:type="dxa"/>
          <w:left w:w="15" w:type="dxa"/>
          <w:bottom w:w="15" w:type="dxa"/>
          <w:right w:w="15" w:type="dxa"/>
        </w:tblCellMar>
        <w:tblLook w:val="04A0"/>
      </w:tblPr>
      <w:tblGrid>
        <w:gridCol w:w="697"/>
        <w:gridCol w:w="1440"/>
        <w:gridCol w:w="1437"/>
        <w:gridCol w:w="1309"/>
        <w:gridCol w:w="1728"/>
        <w:gridCol w:w="897"/>
        <w:gridCol w:w="978"/>
        <w:gridCol w:w="1309"/>
        <w:gridCol w:w="897"/>
        <w:gridCol w:w="978"/>
        <w:gridCol w:w="1118"/>
        <w:gridCol w:w="1315"/>
        <w:gridCol w:w="1363"/>
      </w:tblGrid>
      <w:tr w:rsidR="00065D6B" w:rsidRPr="00792683" w:rsidTr="00065D6B">
        <w:trPr>
          <w:trHeight w:val="15"/>
          <w:tblCellSpacing w:w="15" w:type="dxa"/>
        </w:trPr>
        <w:tc>
          <w:tcPr>
            <w:tcW w:w="63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51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7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62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4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1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4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1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5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6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065D6B">
        <w:trPr>
          <w:trHeight w:val="1725"/>
          <w:tblCellSpacing w:w="15" w:type="dxa"/>
        </w:trPr>
        <w:tc>
          <w:tcPr>
            <w:tcW w:w="63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51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00065D6B" w:rsidRPr="00792683">
              <w:rPr>
                <w:rFonts w:ascii="Times New Roman" w:eastAsia="Times New Roman" w:hAnsi="Times New Roman" w:cs="Times New Roman"/>
                <w:sz w:val="24"/>
                <w:szCs w:val="24"/>
              </w:rPr>
              <w:t xml:space="preserve"> </w:t>
            </w:r>
            <w:proofErr w:type="spellStart"/>
            <w:r w:rsidR="00065D6B" w:rsidRPr="00792683">
              <w:rPr>
                <w:rFonts w:ascii="Times New Roman" w:eastAsia="Times New Roman" w:hAnsi="Times New Roman" w:cs="Times New Roman"/>
                <w:sz w:val="24"/>
                <w:szCs w:val="24"/>
              </w:rPr>
              <w:t>ются</w:t>
            </w:r>
            <w:proofErr w:type="spellEnd"/>
            <w:r w:rsidR="00065D6B" w:rsidRPr="00792683">
              <w:rPr>
                <w:rFonts w:ascii="Times New Roman" w:eastAsia="Times New Roman" w:hAnsi="Times New Roman" w:cs="Times New Roman"/>
                <w:sz w:val="24"/>
                <w:szCs w:val="24"/>
              </w:rPr>
              <w:t xml:space="preserve"> </w:t>
            </w:r>
          </w:p>
        </w:tc>
        <w:tc>
          <w:tcPr>
            <w:tcW w:w="17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4708"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051"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05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23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26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065D6B" w:rsidRPr="00792683" w:rsidTr="00065D6B">
        <w:trPr>
          <w:tblCellSpacing w:w="15" w:type="dxa"/>
        </w:trPr>
        <w:tc>
          <w:tcPr>
            <w:tcW w:w="63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51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
        </w:tc>
        <w:tc>
          <w:tcPr>
            <w:tcW w:w="173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62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84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1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2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84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1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05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236"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6B155A" w:rsidRPr="006B155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26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6B155A" w:rsidRPr="006B155A">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приобре-</w:t>
            </w:r>
            <w:r w:rsidRPr="00792683">
              <w:rPr>
                <w:rFonts w:ascii="Times New Roman" w:eastAsia="Times New Roman" w:hAnsi="Times New Roman" w:cs="Times New Roman"/>
                <w:sz w:val="24"/>
                <w:szCs w:val="24"/>
              </w:rPr>
              <w:br/>
              <w:t>тенного имущества, источники)</w:t>
            </w: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B83C72"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5416" w:rsidRPr="00792683">
              <w:rPr>
                <w:rFonts w:ascii="Times New Roman" w:eastAsia="Times New Roman" w:hAnsi="Times New Roman" w:cs="Times New Roman"/>
                <w:sz w:val="24"/>
                <w:szCs w:val="24"/>
              </w:rPr>
              <w:t>.</w:t>
            </w: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Шендрик Сергей Михайлович</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w:t>
            </w:r>
          </w:p>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участок</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долевая</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2107</w:t>
            </w:r>
          </w:p>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065D6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1594151,63</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Шендрик Надежда Николаев</w:t>
            </w:r>
            <w:r>
              <w:rPr>
                <w:rFonts w:ascii="Times New Roman" w:eastAsia="Times New Roman" w:hAnsi="Times New Roman" w:cs="Times New Roman"/>
                <w:sz w:val="24"/>
                <w:szCs w:val="24"/>
              </w:rPr>
              <w:lastRenderedPageBreak/>
              <w:t>на</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пенсионерка</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долевая</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ГАЗ Газель 2010</w:t>
            </w: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065D6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227197,94</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C93C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C93C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F11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F77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135416">
            <w:pPr>
              <w:spacing w:after="0" w:line="240" w:lineRule="auto"/>
              <w:rPr>
                <w:rFonts w:ascii="Times New Roman" w:eastAsia="Times New Roman" w:hAnsi="Times New Roman" w:cs="Times New Roman"/>
                <w:sz w:val="24"/>
                <w:szCs w:val="24"/>
              </w:rPr>
            </w:pPr>
          </w:p>
          <w:p w:rsidR="00065D6B" w:rsidRPr="00792683" w:rsidRDefault="00065D6B"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2E4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2E4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F11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F77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Default="00065D6B"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792683" w:rsidRDefault="00065D6B" w:rsidP="0037642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45" w:rsidRDefault="00BC7745" w:rsidP="00704F93">
      <w:pPr>
        <w:spacing w:after="0" w:line="240" w:lineRule="auto"/>
      </w:pPr>
      <w:r>
        <w:separator/>
      </w:r>
    </w:p>
  </w:endnote>
  <w:endnote w:type="continuationSeparator" w:id="0">
    <w:p w:rsidR="00BC7745" w:rsidRDefault="00BC7745"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45" w:rsidRDefault="00BC7745" w:rsidP="00704F93">
      <w:pPr>
        <w:spacing w:after="0" w:line="240" w:lineRule="auto"/>
      </w:pPr>
      <w:r>
        <w:separator/>
      </w:r>
    </w:p>
  </w:footnote>
  <w:footnote w:type="continuationSeparator" w:id="0">
    <w:p w:rsidR="00BC7745" w:rsidRDefault="00BC7745"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065D6B">
      <w:rPr>
        <w:sz w:val="28"/>
        <w:szCs w:val="28"/>
      </w:rPr>
      <w:t xml:space="preserve">  </w:t>
    </w:r>
    <w:r w:rsidR="00B83C72">
      <w:rPr>
        <w:sz w:val="28"/>
        <w:szCs w:val="28"/>
      </w:rPr>
      <w:t xml:space="preserve">Главы Благовещенского сельсовета </w:t>
    </w:r>
    <w:r w:rsidR="00065D6B">
      <w:rPr>
        <w:sz w:val="28"/>
        <w:szCs w:val="28"/>
      </w:rPr>
      <w:t>за 2020</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655B3"/>
    <w:rsid w:val="00065D6B"/>
    <w:rsid w:val="00135416"/>
    <w:rsid w:val="002B45C4"/>
    <w:rsid w:val="00356A5F"/>
    <w:rsid w:val="003775BC"/>
    <w:rsid w:val="003835C5"/>
    <w:rsid w:val="003C189E"/>
    <w:rsid w:val="00406F4C"/>
    <w:rsid w:val="00427472"/>
    <w:rsid w:val="00484B9B"/>
    <w:rsid w:val="004B5100"/>
    <w:rsid w:val="00547308"/>
    <w:rsid w:val="005958D1"/>
    <w:rsid w:val="005C7E39"/>
    <w:rsid w:val="0063015B"/>
    <w:rsid w:val="006B155A"/>
    <w:rsid w:val="00704F93"/>
    <w:rsid w:val="00794A11"/>
    <w:rsid w:val="00815B1E"/>
    <w:rsid w:val="008B041A"/>
    <w:rsid w:val="00932FE6"/>
    <w:rsid w:val="00B83C72"/>
    <w:rsid w:val="00BC7745"/>
    <w:rsid w:val="00BE605C"/>
    <w:rsid w:val="00C67AEC"/>
    <w:rsid w:val="00C71293"/>
    <w:rsid w:val="00E1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2020-03-17T09:28:00Z</cp:lastPrinted>
  <dcterms:created xsi:type="dcterms:W3CDTF">2020-03-16T08:49:00Z</dcterms:created>
  <dcterms:modified xsi:type="dcterms:W3CDTF">2021-04-09T03:34:00Z</dcterms:modified>
</cp:coreProperties>
</file>